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850A" w14:textId="77777777" w:rsidR="00875052" w:rsidRPr="00875052" w:rsidRDefault="00875052" w:rsidP="00875052">
      <w:pPr>
        <w:shd w:val="clear" w:color="auto" w:fill="FFFFFF"/>
        <w:spacing w:before="300" w:after="150" w:afterAutospacing="0"/>
        <w:outlineLvl w:val="2"/>
        <w:rPr>
          <w:rFonts w:ascii="PT Sans" w:eastAsia="Times New Roman" w:hAnsi="PT Sans" w:cs="Times New Roman"/>
          <w:color w:val="176738"/>
          <w:kern w:val="0"/>
          <w:sz w:val="36"/>
          <w:szCs w:val="36"/>
          <w14:ligatures w14:val="none"/>
        </w:rPr>
      </w:pPr>
      <w:r w:rsidRPr="00875052">
        <w:rPr>
          <w:rFonts w:ascii="PT Sans" w:eastAsia="Times New Roman" w:hAnsi="PT Sans" w:cs="Times New Roman"/>
          <w:color w:val="176738"/>
          <w:kern w:val="0"/>
          <w:sz w:val="36"/>
          <w:szCs w:val="36"/>
          <w14:ligatures w14:val="none"/>
        </w:rPr>
        <w:t>Best Practices</w:t>
      </w:r>
    </w:p>
    <w:p w14:paraId="324BA7C7" w14:textId="77777777" w:rsidR="00875052" w:rsidRPr="00875052" w:rsidRDefault="00875052" w:rsidP="00875052">
      <w:pPr>
        <w:shd w:val="clear" w:color="auto" w:fill="FFFFFF"/>
        <w:spacing w:before="0" w:after="0" w:afterAutospacing="0"/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</w:pPr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As mandated in the Utah State Legislature</w:t>
      </w:r>
      <w:hyperlink r:id="rId4" w:tgtFrame="_blank" w:tooltip="Opens in a new window" w:history="1"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14:ligatures w14:val="none"/>
          </w:rPr>
          <w:t> Title 53E-3-7: School Construction</w:t>
        </w:r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:bdr w:val="single" w:sz="6" w:space="2" w:color="CCCCCC" w:frame="1"/>
            <w14:ligatures w14:val="none"/>
          </w:rPr>
          <w:t>(External Web Content)</w:t>
        </w:r>
      </w:hyperlink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, the Utah State Board of Education shall adopt construction guidelines to </w:t>
      </w:r>
      <w:r w:rsidRPr="00875052">
        <w:rPr>
          <w:rFonts w:ascii="PT Sans" w:eastAsia="Times New Roman" w:hAnsi="PT Sans" w:cs="Times New Roman"/>
          <w:i/>
          <w:iCs/>
          <w:color w:val="292929"/>
          <w:kern w:val="0"/>
          <w:sz w:val="21"/>
          <w:szCs w:val="21"/>
          <w14:ligatures w14:val="none"/>
        </w:rPr>
        <w:t>maximize funds used for public school construction and reflect efficient and economic use of those funds</w:t>
      </w:r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. Also refer to the Utah Office of Administrative Rules </w:t>
      </w:r>
      <w:hyperlink r:id="rId5" w:tgtFrame="_blank" w:tooltip="Opens in a new window" w:history="1"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14:ligatures w14:val="none"/>
          </w:rPr>
          <w:t> R277-471: School Construction Oversight, Inspections, Training and Reporting</w:t>
        </w:r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:bdr w:val="single" w:sz="6" w:space="2" w:color="CCCCCC" w:frame="1"/>
            <w14:ligatures w14:val="none"/>
          </w:rPr>
          <w:t>(PDF File)</w:t>
        </w:r>
      </w:hyperlink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, which provides </w:t>
      </w:r>
      <w:r w:rsidRPr="00875052">
        <w:rPr>
          <w:rFonts w:ascii="PT Sans" w:eastAsia="Times New Roman" w:hAnsi="PT Sans" w:cs="Times New Roman"/>
          <w:i/>
          <w:iCs/>
          <w:color w:val="292929"/>
          <w:kern w:val="0"/>
          <w:sz w:val="21"/>
          <w:szCs w:val="21"/>
          <w14:ligatures w14:val="none"/>
        </w:rPr>
        <w:t>minimum requirements to safeguard the public health, safety and general welfare of occupants while using the most comprehensive, cost effective and efficient design means and methods.</w:t>
      </w:r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 The tab </w:t>
      </w:r>
      <w:hyperlink r:id="rId6" w:history="1"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14:ligatures w14:val="none"/>
          </w:rPr>
          <w:t>School Construction Resources</w:t>
        </w:r>
      </w:hyperlink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 provides facility and facility safety related Best Practices information.</w:t>
      </w:r>
    </w:p>
    <w:p w14:paraId="1B703A4A" w14:textId="77777777" w:rsidR="00875052" w:rsidRPr="00875052" w:rsidRDefault="00875052" w:rsidP="00875052">
      <w:pPr>
        <w:shd w:val="clear" w:color="auto" w:fill="FFFFFF"/>
        <w:spacing w:before="0" w:after="0" w:afterAutospacing="0"/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</w:pPr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Along with the State of Utah </w:t>
      </w:r>
      <w:hyperlink r:id="rId7" w:tgtFrame="_blank" w:tooltip="Opens in a new window" w:history="1"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14:ligatures w14:val="none"/>
          </w:rPr>
          <w:t> Emergency Preparedness Planning Guide for Utah Public Schools</w:t>
        </w:r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:bdr w:val="single" w:sz="6" w:space="2" w:color="CCCCCC" w:frame="1"/>
            <w14:ligatures w14:val="none"/>
          </w:rPr>
          <w:t>(PDF File)</w:t>
        </w:r>
      </w:hyperlink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 being mandated in the Utah Office of Administrative Rules </w:t>
      </w:r>
      <w:hyperlink r:id="rId8" w:tgtFrame="_blank" w:tooltip="Opens in a new window" w:history="1"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14:ligatures w14:val="none"/>
          </w:rPr>
          <w:t> R277-400: School Facility Emergency and Safety</w:t>
        </w:r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:bdr w:val="single" w:sz="6" w:space="2" w:color="CCCCCC" w:frame="1"/>
            <w14:ligatures w14:val="none"/>
          </w:rPr>
          <w:t>(PDF File)</w:t>
        </w:r>
      </w:hyperlink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, it is considered a guideline for best practice relative to Utah K-12 public school safety and security. The Safety and Security website provides additional links to information and examples considered best practice for school facilities.</w:t>
      </w:r>
    </w:p>
    <w:p w14:paraId="3B78D6D1" w14:textId="77777777" w:rsidR="00875052" w:rsidRPr="00875052" w:rsidRDefault="00875052" w:rsidP="00875052">
      <w:pPr>
        <w:shd w:val="clear" w:color="auto" w:fill="FFFFFF"/>
        <w:spacing w:before="0" w:after="0" w:afterAutospacing="0"/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</w:pPr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If you have any questions about facility or safety best practices for K-12 public schools, please feel free to contact School Construction at </w:t>
      </w:r>
      <w:hyperlink r:id="rId9" w:tgtFrame="_blank" w:tooltip="Opens in a new window" w:history="1"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14:ligatures w14:val="none"/>
          </w:rPr>
          <w:t> schoolconstruction@schools.utah.gov</w:t>
        </w:r>
        <w:r w:rsidRPr="00875052">
          <w:rPr>
            <w:rFonts w:ascii="PT Sans" w:eastAsia="Times New Roman" w:hAnsi="PT Sans" w:cs="Times New Roman"/>
            <w:color w:val="337AB7"/>
            <w:kern w:val="0"/>
            <w:sz w:val="21"/>
            <w:szCs w:val="21"/>
            <w:u w:val="single"/>
            <w:bdr w:val="single" w:sz="6" w:space="2" w:color="CCCCCC" w:frame="1"/>
            <w14:ligatures w14:val="none"/>
          </w:rPr>
          <w:t>(External Web Content)</w:t>
        </w:r>
      </w:hyperlink>
      <w:r w:rsidRPr="00875052">
        <w:rPr>
          <w:rFonts w:ascii="PT Sans" w:eastAsia="Times New Roman" w:hAnsi="PT Sans" w:cs="Times New Roman"/>
          <w:color w:val="292929"/>
          <w:kern w:val="0"/>
          <w:sz w:val="21"/>
          <w:szCs w:val="21"/>
          <w14:ligatures w14:val="none"/>
        </w:rPr>
        <w:t>.</w:t>
      </w:r>
    </w:p>
    <w:p w14:paraId="116AA71F" w14:textId="77777777" w:rsidR="001478C2" w:rsidRDefault="001478C2"/>
    <w:sectPr w:rsidR="0014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52"/>
    <w:rsid w:val="00066E88"/>
    <w:rsid w:val="001478C2"/>
    <w:rsid w:val="003E4169"/>
    <w:rsid w:val="00875052"/>
    <w:rsid w:val="00D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EFB2"/>
  <w15:chartTrackingRefBased/>
  <w15:docId w15:val="{79607FDC-D2E8-4F78-B65D-8744ADD0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utah.gov/file/d3cb02c5-7806-46b2-8053-3ba66be344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ools.utah.gov/file/4fc3e9a0-b795-4742-a06d-a03b22f6e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ols.utah.gov/financialoperations/constructionfacilitysafety?mid=2173&amp;tid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hools.utah.gov/file/c686cc1c-c0f0-413b-b063-68cb04b9d8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.utah.gov/xcode/Title53E/Chapter3/53E-3-P7.html" TargetMode="External"/><Relationship Id="rId9" Type="http://schemas.openxmlformats.org/officeDocument/2006/relationships/hyperlink" Target="mailto:schoolconstruction@schools.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>Utah State Board of Education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Noralee</dc:creator>
  <cp:keywords/>
  <dc:description/>
  <cp:lastModifiedBy>Green, Noralee</cp:lastModifiedBy>
  <cp:revision>1</cp:revision>
  <dcterms:created xsi:type="dcterms:W3CDTF">2023-12-11T21:46:00Z</dcterms:created>
  <dcterms:modified xsi:type="dcterms:W3CDTF">2023-12-11T21:47:00Z</dcterms:modified>
</cp:coreProperties>
</file>